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15"/>
    <w:p>
      <w:pPr>
        <w:pStyle w:val="Heading1"/>
      </w:pPr>
      <w:r>
        <w:t xml:space="preserve">Homiletics Analysis: Deuteronomy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15 presents two distinct but related legal-covenantal institutions: the sabbatical year debt release (vv. 1–11) and the release of Hebrew slaves (vv. 12–18), followed by a brief law governing the firstborn of livestock (vv. 19–23). The chapter’s dominant concern is economic and relational life within the covenant community — how Israel’s internal social arrangements are to be shaped by their identity as a redeemed people under a gracious God. The debt-release provision (the</w:t>
      </w:r>
      <w:r>
        <w:t xml:space="preserve"> </w:t>
      </w:r>
      <w:r>
        <w:rPr>
          <w:i/>
          <w:iCs/>
        </w:rPr>
        <w:t xml:space="preserve">shemittah</w:t>
      </w:r>
      <w:r>
        <w:t xml:space="preserve">) commands that every seventh year, creditors are to cancel the outstanding debts of fellow Israelites, while still being permitted to collect from foreigners. Moses anticipates a temptation toward closed-fistedness as the seventh year approaches and addresses it directly: do not let the nearness of the release year cause you to withhold loans from a needy brother (vv. 9–11). The slave-release provision extends the same logic: a Hebrew sold into service is to be freed after six years, generously provisioned for independent life, and not released empty-handed. The possibility of voluntary permanent servitude is also addressed (vv. 16–17). The firstborn livestock law (vv. 19–23) functions as a concluding cultic appendix — reinforcing that the firstborn belong to the LORD, are to be eaten before Him in worship, and are not to be put to common labor or use.</w:t>
      </w:r>
    </w:p>
    <w:p>
      <w:pPr>
        <w:pStyle w:val="BodyText"/>
      </w:pPr>
      <w:r>
        <w:rPr>
          <w:b/>
          <w:bCs/>
        </w:rPr>
        <w:t xml:space="preserve">This Text — Intent</w:t>
      </w:r>
    </w:p>
    <w:p>
      <w:pPr>
        <w:pStyle w:val="BodyText"/>
      </w:pPr>
      <w:r>
        <w:t xml:space="preserve">God is seeking to form in Israel a community whose economic life mirrors the grace they have received. The repeated phrase</w:t>
      </w:r>
      <w:r>
        <w:t xml:space="preserve"> </w:t>
      </w:r>
      <w:r>
        <w:t xml:space="preserve">“the LORD your God will bless you”</w:t>
      </w:r>
      <w:r>
        <w:t xml:space="preserve"> </w:t>
      </w:r>
      <w:r>
        <w:t xml:space="preserve">(vv. 4, 6, 10, 14, 18) is not incidental — it is the motivational architecture of the chapter. God is working to dislodge the hoarding, fearful, self-protective instinct that treats scarcity as the fundamental reality, and to replace it with open-handed generosity rooted in trust that He is the ultimate provider and Lord of all. The phrase</w:t>
      </w:r>
      <w:r>
        <w:t xml:space="preserve"> </w:t>
      </w:r>
      <w:r>
        <w:t xml:space="preserve">“there need be no poor among you”</w:t>
      </w:r>
      <w:r>
        <w:t xml:space="preserve"> </w:t>
      </w:r>
      <w:r>
        <w:t xml:space="preserve">(v. 4) is a missional goal, not a naive prediction — it describes what a covenant community living out these laws would look like. The declaration</w:t>
      </w:r>
      <w:r>
        <w:t xml:space="preserve"> </w:t>
      </w:r>
      <w:r>
        <w:t xml:space="preserve">“remember that you were a slave in Egypt, and the LORD your God redeemed you”</w:t>
      </w:r>
      <w:r>
        <w:t xml:space="preserve"> </w:t>
      </w:r>
      <w:r>
        <w:t xml:space="preserve">(v. 15) identifies the ground of the entire ethical structure: grace received must generate grace extended. God is calling Israel — and through them, every covenant people — to embody a counter-cultural economics of grace.</w:t>
      </w:r>
    </w:p>
    <w:p>
      <w:r>
        <w:pict>
          <v:rect style="width:0;height:1.5pt" o:hralign="center" o:hrstd="t" o:hr="t"/>
        </w:pict>
      </w:r>
    </w:p>
    <w:p>
      <w:pPr>
        <w:pStyle w:val="FirstParagraph"/>
      </w:pPr>
      <w:r>
        <w:rPr>
          <w:b/>
          <w:bCs/>
        </w:rPr>
        <w:t xml:space="preserve">Subject Sentence:</w:t>
      </w:r>
      <w:r>
        <w:t xml:space="preserve"> </w:t>
      </w:r>
      <w:r>
        <w:t xml:space="preserve">The redeemed community is commanded to mirror God’s grace in its economic and social life.</w:t>
      </w:r>
    </w:p>
    <w:p>
      <w:r>
        <w:pict>
          <v:rect style="width:0;height:1.5pt" o:hralign="center" o:hrstd="t" o:hr="t"/>
        </w:pict>
      </w:r>
    </w:p>
    <w:p>
      <w:pPr>
        <w:pStyle w:val="FirstParagraph"/>
      </w:pPr>
      <w:r>
        <w:rPr>
          <w:b/>
          <w:bCs/>
        </w:rPr>
        <w:t xml:space="preserve">Primary Claim:</w:t>
      </w:r>
      <w:r>
        <w:t xml:space="preserve"> </w:t>
      </w:r>
      <w:r>
        <w:t xml:space="preserve">Because Israel has been liberated by grace, God now calls them to structure their common life — debt, labor, wealth — around open-handed generosity rather than self-protective hoarding, trusting that He is the God who blesses the open hand.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and ongoing applicability of the debt-release law</w:t>
      </w:r>
    </w:p>
    <w:p>
      <w:pPr>
        <w:pStyle w:val="BodyText"/>
      </w:pPr>
      <w:r>
        <w:t xml:space="preserve">A key interpretive question is whether the</w:t>
      </w:r>
      <w:r>
        <w:t xml:space="preserve"> </w:t>
      </w:r>
      <w:r>
        <w:rPr>
          <w:i/>
          <w:iCs/>
        </w:rPr>
        <w:t xml:space="preserve">shemittah</w:t>
      </w:r>
      <w:r>
        <w:t xml:space="preserve"> </w:t>
      </w:r>
      <w:r>
        <w:t xml:space="preserve">law of verses 1–11 is intended as a direct binding institution for all covenant communities in all times, or whether it is a civil-ceremonial provision of the Mosaic theocracy that has been fulfilled and transformed in Christ. The Dispensational tradition tends to treat this as a provision specifically for national Israel during the theocratic period, with limited direct application to the church. The Lutheran and Reformed traditions have generally distinguished between the ceremonial, civil, and moral dimensions of the Mosaic law — and there is broad agreement that the specific civil institutions of the Israelite theocracy (including the exact sabbatical-year mechanism) are not directly binding on New Covenant communities or modern states. However, the</w:t>
      </w:r>
      <w:r>
        <w:t xml:space="preserve"> </w:t>
      </w:r>
      <w:r>
        <w:rPr>
          <w:i/>
          <w:iCs/>
        </w:rPr>
        <w:t xml:space="preserve">moral principle</w:t>
      </w:r>
      <w:r>
        <w:t xml:space="preserve"> </w:t>
      </w:r>
      <w:r>
        <w:t xml:space="preserve">driving the law — that covenant people are to be characterized by generous, grace-motivated care for the economically vulnerable — is universally acknowledged across traditions as abiding.</w:t>
      </w:r>
    </w:p>
    <w:p>
      <w:pPr>
        <w:pStyle w:val="BodyText"/>
      </w:pPr>
      <w:r>
        <w:t xml:space="preserve">The Reformed reading is that the specific civil mechanism has been fulfilled and is not directly transferable, but the theological and ethical logic driving it — grace received generates grace extended, and God’s people are to embody counter-cultural economic care for one another — is perpetually binding. This is precisely how the New Testament handles the passage: 2 Corinthians 8–9 draws on the same motivational logic (Christ’s poverty makes us rich; give accordingly) without re-instituting the</w:t>
      </w:r>
      <w:r>
        <w:t xml:space="preserve"> </w:t>
      </w:r>
      <w:r>
        <w:rPr>
          <w:i/>
          <w:iCs/>
        </w:rPr>
        <w:t xml:space="preserve">shemittah</w:t>
      </w:r>
      <w:r>
        <w:t xml:space="preserve"> </w:t>
      </w:r>
      <w:r>
        <w:t xml:space="preserve">mechanism itself. The reforming of the principle in a New Covenant key is exactly what a Reformed hermeneutic predicts.</w:t>
      </w:r>
    </w:p>
    <w:p>
      <w:pPr>
        <w:pStyle w:val="BodyText"/>
      </w:pPr>
      <w:r>
        <w:rPr>
          <w:b/>
          <w:bCs/>
        </w:rPr>
        <w:t xml:space="preserve">“There need be no poor among you”</w:t>
      </w:r>
      <w:r>
        <w:rPr>
          <w:b/>
          <w:bCs/>
        </w:rPr>
        <w:t xml:space="preserve"> </w:t>
      </w:r>
      <w:r>
        <w:rPr>
          <w:b/>
          <w:bCs/>
        </w:rPr>
        <w:t xml:space="preserve">(v. 4) versus</w:t>
      </w:r>
      <w:r>
        <w:rPr>
          <w:b/>
          <w:bCs/>
        </w:rPr>
        <w:t xml:space="preserve"> </w:t>
      </w:r>
      <w:r>
        <w:rPr>
          <w:b/>
          <w:bCs/>
        </w:rPr>
        <w:t xml:space="preserve">“the poor you will always have with you”</w:t>
      </w:r>
      <w:r>
        <w:rPr>
          <w:b/>
          <w:bCs/>
        </w:rPr>
        <w:t xml:space="preserve"> </w:t>
      </w:r>
      <w:r>
        <w:rPr>
          <w:b/>
          <w:bCs/>
        </w:rPr>
        <w:t xml:space="preserve">(Matthew 26:11)</w:t>
      </w:r>
    </w:p>
    <w:p>
      <w:pPr>
        <w:pStyle w:val="BodyText"/>
      </w:pPr>
      <w:r>
        <w:t xml:space="preserve">A common pastoral and hermeneutical puzzle is the apparent tension between verse 4 (</w:t>
      </w:r>
      <w:r>
        <w:t xml:space="preserve">“there need be no poor among you”</w:t>
      </w:r>
      <w:r>
        <w:t xml:space="preserve">) and Jesus’ statement in Matthew 26:11. Some traditions — particularly certain strands of liberation theology and progressive Christian ethics — read verse 4 as a programmatic social mandate that the church is failing if poverty exists, and treat Matthew 26:11 as a later concession. This reading overreaches in both directions: it reads verse 4 as an unconditional promise divorced from the covenant-obedience condition stated in the same verse (</w:t>
      </w:r>
      <w:r>
        <w:t xml:space="preserve">“if only you will strictly obey the voice of the LORD your God”</w:t>
      </w:r>
      <w:r>
        <w:t xml:space="preserve">), and it misreads Matthew 26:11 as fatalism rather than a redirection of a misapplied standard.</w:t>
      </w:r>
    </w:p>
    <w:p>
      <w:pPr>
        <w:pStyle w:val="BodyText"/>
      </w:pPr>
      <w:r>
        <w:t xml:space="preserve">The Reformed reading holds verse 4 as a conditional promise and a covenantal ideal: a community fully obedient to these laws would experience a dramatic reduction in grinding poverty. Verse 11 —</w:t>
      </w:r>
      <w:r>
        <w:t xml:space="preserve"> </w:t>
      </w:r>
      <w:r>
        <w:t xml:space="preserve">“the poor will never cease from the land”</w:t>
      </w:r>
      <w:r>
        <w:t xml:space="preserve"> </w:t>
      </w:r>
      <w:r>
        <w:t xml:space="preserve">— is not a contradiction but a realistic acknowledgment of partial obedience and fallen conditions, paired with a command:</w:t>
      </w:r>
      <w:r>
        <w:t xml:space="preserve"> </w:t>
      </w:r>
      <w:r>
        <w:t xml:space="preserve">“therefore, open wide your hand.”</w:t>
      </w:r>
      <w:r>
        <w:t xml:space="preserve"> </w:t>
      </w:r>
      <w:r>
        <w:t xml:space="preserve">Jesus quotes this second clause, not to endorse permanent indifference to poverty, but to correct a misapplied generosity argument. The tension is productive and should not be flattened: the ideal is genuine, the realistic acknowledgment is also genuine, and the command is permanent.</w:t>
      </w:r>
    </w:p>
    <w:p>
      <w:pPr>
        <w:pStyle w:val="BodyText"/>
      </w:pPr>
      <w:r>
        <w:rPr>
          <w:b/>
          <w:bCs/>
        </w:rPr>
        <w:t xml:space="preserve">The slave-release law and its hermeneutical legacy</w:t>
      </w:r>
    </w:p>
    <w:p>
      <w:pPr>
        <w:pStyle w:val="BodyText"/>
      </w:pPr>
      <w:r>
        <w:t xml:space="preserve">The provisions of verses 12–18 were historically invoked both to defend and to critique the institution of chattel slavery in American history. The Reformed reading must be precise: the institution addressed here is debt-servitude within a covenant community governed by strict protections — a six-year maximum, mandatory generous release, prohibition of harsh treatment. This bears no meaningful resemblance to race-based chattel slavery and cannot be used to justify it. Conversely, the passage cannot be reduced to an endorsement of any form of permanent economic bondage — the law’s entire momentum is toward liberation, generosity, and dignity. The permanent servitude option (vv. 16–17) is a provision for a specific relational circumstance, not a loophole for exploitation.</w:t>
      </w:r>
    </w:p>
    <w:p>
      <w:pPr>
        <w:pStyle w:val="BodyText"/>
      </w:pPr>
      <w:r>
        <w:t xml:space="preserve">The Reformed reading is that these laws function as a humane, grace-driven reform within a fallen world — not a timeless endorsement of bonded labor, but a radical elevation of the rights and dignity of the economically vulnerable within a specific cultural context. The New Testament’s trajectory —</w:t>
      </w:r>
      <w:r>
        <w:t xml:space="preserve"> </w:t>
      </w:r>
      <w:r>
        <w:t xml:space="preserve">“there is neither slave nor free”</w:t>
      </w:r>
      <w:r>
        <w:t xml:space="preserve"> </w:t>
      </w:r>
      <w:r>
        <w:t xml:space="preserve">(Galatians 3:28) — is the fulfillment of the moral logic driving Deuteronomy 15, not a reversal of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25:35–43</w:t>
      </w:r>
      <w:r>
        <w:t xml:space="preserve"> </w:t>
      </w:r>
      <w:r>
        <w:t xml:space="preserve">— The parallel sabbatical and Jubilee legislation grounds the same ethical logic in the Holiness Code:</w:t>
      </w:r>
      <w:r>
        <w:t xml:space="preserve"> </w:t>
      </w:r>
      <w:r>
        <w:t xml:space="preserve">“I am the LORD your God, who brought you out of Egypt to give you the land of Canaan and to be your God.”</w:t>
      </w:r>
      <w:r>
        <w:t xml:space="preserve"> </w:t>
      </w:r>
      <w:r>
        <w:t xml:space="preserve">The redemption from Egypt is the theological basis for Israel’s internal social ethic, corroborating Deuteronomy 15’s identical move.</w:t>
      </w:r>
    </w:p>
    <w:p>
      <w:pPr>
        <w:numPr>
          <w:ilvl w:val="0"/>
          <w:numId w:val="1001"/>
        </w:numPr>
      </w:pPr>
      <w:r>
        <w:rPr>
          <w:b/>
          <w:bCs/>
        </w:rPr>
        <w:t xml:space="preserve">Exodus 21:1–11</w:t>
      </w:r>
      <w:r>
        <w:t xml:space="preserve"> </w:t>
      </w:r>
      <w:r>
        <w:t xml:space="preserve">— The earlier Book of the Covenant slave-release provision establishes the legislative tradition Deuteronomy 15 extends and deepens. The Deuteronomic version adds the generosity-at-release provision and the redemption-memory motivation, showing the law’s development toward fuller grace expression.</w:t>
      </w:r>
    </w:p>
    <w:p>
      <w:pPr>
        <w:numPr>
          <w:ilvl w:val="0"/>
          <w:numId w:val="1001"/>
        </w:numPr>
      </w:pPr>
      <w:r>
        <w:rPr>
          <w:b/>
          <w:bCs/>
        </w:rPr>
        <w:t xml:space="preserve">2 Corinthians 8:1–15</w:t>
      </w:r>
      <w:r>
        <w:t xml:space="preserve"> </w:t>
      </w:r>
      <w:r>
        <w:t xml:space="preserve">— Paul’s most sustained New Covenant application of the Deuteronomy 15 logic:</w:t>
      </w:r>
      <w:r>
        <w:t xml:space="preserve"> </w:t>
      </w:r>
      <w:r>
        <w:t xml:space="preserve">“For you know the grace of our Lord Jesus Christ, that though he was rich, yet for your sake he became poor, so that you by his poverty might become rich”</w:t>
      </w:r>
      <w:r>
        <w:t xml:space="preserve"> </w:t>
      </w:r>
      <w:r>
        <w:t xml:space="preserve">(v. 9). The motivational structure is identical — grace received becomes the engine of grace extended — but now grounded in the ultimate</w:t>
      </w:r>
      <w:r>
        <w:t xml:space="preserve"> </w:t>
      </w:r>
      <w:r>
        <w:rPr>
          <w:i/>
          <w:iCs/>
        </w:rPr>
        <w:t xml:space="preserve">shemittah</w:t>
      </w:r>
      <w:r>
        <w:t xml:space="preserve">, Christ’s self-giving. The passage explicitly quotes Exodus 16 on manna to make the same</w:t>
      </w:r>
      <w:r>
        <w:t xml:space="preserve"> </w:t>
      </w:r>
      <w:r>
        <w:t xml:space="preserve">“enough for all”</w:t>
      </w:r>
      <w:r>
        <w:t xml:space="preserve"> </w:t>
      </w:r>
      <w:r>
        <w:t xml:space="preserve">point Deuteronomy 15:4 makes.</w:t>
      </w:r>
    </w:p>
    <w:p>
      <w:pPr>
        <w:numPr>
          <w:ilvl w:val="0"/>
          <w:numId w:val="1001"/>
        </w:numPr>
      </w:pPr>
      <w:r>
        <w:rPr>
          <w:b/>
          <w:bCs/>
        </w:rPr>
        <w:t xml:space="preserve">Luke 4:16–21</w:t>
      </w:r>
      <w:r>
        <w:t xml:space="preserve"> </w:t>
      </w:r>
      <w:r>
        <w:t xml:space="preserve">— Jesus’ Nazareth manifesto applies Jubilee-sabbatical language (</w:t>
      </w:r>
      <w:r>
        <w:t xml:space="preserve">“the year of the Lord’s favor”</w:t>
      </w:r>
      <w:r>
        <w:t xml:space="preserve">) to His own ministry, indicating that the liberation logic of Deuteronomy 15 finds its ultimate fulfillment in Him. He is the one who truly releases captives and opens the way to the final year of release.</w:t>
      </w:r>
    </w:p>
    <w:p>
      <w:pPr>
        <w:numPr>
          <w:ilvl w:val="0"/>
          <w:numId w:val="1001"/>
        </w:numPr>
      </w:pPr>
      <w:r>
        <w:rPr>
          <w:b/>
          <w:bCs/>
        </w:rPr>
        <w:t xml:space="preserve">Acts 2:44–45; 4:32–35</w:t>
      </w:r>
      <w:r>
        <w:t xml:space="preserve"> </w:t>
      </w:r>
      <w:r>
        <w:t xml:space="preserve">— The early Jerusalem church’s economic sharing is explicitly narrated as covenant-community life in which</w:t>
      </w:r>
      <w:r>
        <w:t xml:space="preserve"> </w:t>
      </w:r>
      <w:r>
        <w:t xml:space="preserve">“there was not a needy person among them”</w:t>
      </w:r>
      <w:r>
        <w:t xml:space="preserve"> </w:t>
      </w:r>
      <w:r>
        <w:t xml:space="preserve">(4:34) — a direct echo of Deuteronomy 15:4’s covenantal ideal, now realized (partially, temporarily) among the Spirit-filled community. Luke’s point is that Pentecost produces the Deuteronomy 15 community.</w:t>
      </w:r>
    </w:p>
    <w:p>
      <w:r>
        <w:pict>
          <v:rect style="width:0;height:1.5pt" o:hralign="center" o:hrstd="t" o:hr="t"/>
        </w:pict>
      </w:r>
    </w:p>
    <w:p>
      <w:pPr>
        <w:pStyle w:val="FirstParagraph"/>
      </w:pPr>
      <w:r>
        <w:rPr>
          <w:b/>
          <w:bCs/>
        </w:rPr>
        <w:t xml:space="preserve">Aim:</w:t>
      </w:r>
      <w:r>
        <w:t xml:space="preserve"> </w:t>
      </w:r>
      <w:r>
        <w:t xml:space="preserve">To show that God’s command for open-handed generosity in the covenant community is not an optional social program but a direct consequence of the grace Israel received — and that every redeemed community is called to the same counter-cultural economics of grace.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15:1</w:t>
            </w:r>
          </w:p>
        </w:tc>
        <w:tc>
          <w:tcPr/>
          <w:p>
            <w:pPr>
              <w:pStyle w:val="Compact"/>
            </w:pPr>
            <w:r>
              <w:t xml:space="preserve">Every seventh year a release shall be proclaimed</w:t>
            </w:r>
          </w:p>
        </w:tc>
        <w:tc>
          <w:tcPr/>
          <w:p>
            <w:pPr>
              <w:pStyle w:val="Compact"/>
            </w:pPr>
            <w:r>
              <w:rPr>
                <w:i/>
                <w:iCs/>
              </w:rPr>
              <w:t xml:space="preserve">shemittah</w:t>
            </w:r>
            <w:r>
              <w:t xml:space="preserve"> </w:t>
            </w:r>
            <w:r>
              <w:t xml:space="preserve">—</w:t>
            </w:r>
            <w:r>
              <w:t xml:space="preserve"> </w:t>
            </w:r>
            <w:r>
              <w:t xml:space="preserve">“release”</w:t>
            </w:r>
            <w:r>
              <w:t xml:space="preserve"> </w:t>
            </w:r>
            <w:r>
              <w:t xml:space="preserve">or</w:t>
            </w:r>
            <w:r>
              <w:t xml:space="preserve"> </w:t>
            </w:r>
            <w:r>
              <w:t xml:space="preserve">“letting drop”</w:t>
            </w:r>
            <w:r>
              <w:t xml:space="preserve">; establishes the sabbatical cycle</w:t>
            </w:r>
          </w:p>
        </w:tc>
      </w:tr>
      <w:tr>
        <w:tc>
          <w:tcPr/>
          <w:p>
            <w:pPr>
              <w:pStyle w:val="Compact"/>
            </w:pPr>
            <w:r>
              <w:t xml:space="preserve">15:2</w:t>
            </w:r>
          </w:p>
        </w:tc>
        <w:tc>
          <w:tcPr/>
          <w:p>
            <w:pPr>
              <w:pStyle w:val="Compact"/>
            </w:pPr>
            <w:r>
              <w:t xml:space="preserve">Every creditor shall release what he has lent to his neighbor; he shall not exact it of his neighbor, his brother</w:t>
            </w:r>
          </w:p>
        </w:tc>
        <w:tc>
          <w:tcPr/>
          <w:p>
            <w:pPr>
              <w:pStyle w:val="Compact"/>
            </w:pPr>
            <w:r>
              <w:t xml:space="preserve">The scope: debts among covenant members;</w:t>
            </w:r>
            <w:r>
              <w:t xml:space="preserve"> </w:t>
            </w:r>
            <w:r>
              <w:t xml:space="preserve">“brother”</w:t>
            </w:r>
            <w:r>
              <w:t xml:space="preserve"> </w:t>
            </w:r>
            <w:r>
              <w:t xml:space="preserve">language is deliberate</w:t>
            </w:r>
          </w:p>
        </w:tc>
      </w:tr>
      <w:tr>
        <w:tc>
          <w:tcPr/>
          <w:p>
            <w:pPr>
              <w:pStyle w:val="Compact"/>
            </w:pPr>
            <w:r>
              <w:t xml:space="preserve">15:3</w:t>
            </w:r>
          </w:p>
        </w:tc>
        <w:tc>
          <w:tcPr/>
          <w:p>
            <w:pPr>
              <w:pStyle w:val="Compact"/>
            </w:pPr>
            <w:r>
              <w:t xml:space="preserve">Foreigners may be pressed for payment; only Israelites receive the release</w:t>
            </w:r>
          </w:p>
        </w:tc>
        <w:tc>
          <w:tcPr/>
          <w:p>
            <w:pPr>
              <w:pStyle w:val="Compact"/>
            </w:pPr>
            <w:r>
              <w:t xml:space="preserve">Distinguishes the internal covenant community from outsiders</w:t>
            </w:r>
          </w:p>
        </w:tc>
      </w:tr>
      <w:tr>
        <w:tc>
          <w:tcPr/>
          <w:p>
            <w:pPr>
              <w:pStyle w:val="Compact"/>
            </w:pPr>
            <w:r>
              <w:t xml:space="preserve">15:4</w:t>
            </w:r>
          </w:p>
        </w:tc>
        <w:tc>
          <w:tcPr/>
          <w:p>
            <w:pPr>
              <w:pStyle w:val="Compact"/>
            </w:pPr>
            <w:r>
              <w:t xml:space="preserve">“There need be no poor among you”</w:t>
            </w:r>
            <w:r>
              <w:t xml:space="preserve"> </w:t>
            </w:r>
            <w:r>
              <w:t xml:space="preserve">— the LORD will bless in the land</w:t>
            </w:r>
          </w:p>
        </w:tc>
        <w:tc>
          <w:tcPr/>
          <w:p>
            <w:pPr>
              <w:pStyle w:val="Compact"/>
            </w:pPr>
            <w:r>
              <w:t xml:space="preserve">A covenantal ideal, conditionally framed by obedience</w:t>
            </w:r>
          </w:p>
        </w:tc>
      </w:tr>
      <w:tr>
        <w:tc>
          <w:tcPr/>
          <w:p>
            <w:pPr>
              <w:pStyle w:val="Compact"/>
            </w:pPr>
            <w:r>
              <w:t xml:space="preserve">15:5</w:t>
            </w:r>
          </w:p>
        </w:tc>
        <w:tc>
          <w:tcPr/>
          <w:p>
            <w:pPr>
              <w:pStyle w:val="Compact"/>
            </w:pPr>
            <w:r>
              <w:t xml:space="preserve">The blessing is conditioned on strict obedience to the LORD</w:t>
            </w:r>
          </w:p>
        </w:tc>
        <w:tc>
          <w:tcPr/>
          <w:p>
            <w:pPr>
              <w:pStyle w:val="Compact"/>
            </w:pPr>
            <w:r>
              <w:t xml:space="preserve">The condition makes verse 4 a promise rather than a prediction or guarantee</w:t>
            </w:r>
          </w:p>
        </w:tc>
      </w:tr>
      <w:tr>
        <w:tc>
          <w:tcPr/>
          <w:p>
            <w:pPr>
              <w:pStyle w:val="Compact"/>
            </w:pPr>
            <w:r>
              <w:t xml:space="preserve">15:6</w:t>
            </w:r>
          </w:p>
        </w:tc>
        <w:tc>
          <w:tcPr/>
          <w:p>
            <w:pPr>
              <w:pStyle w:val="Compact"/>
            </w:pPr>
            <w:r>
              <w:t xml:space="preserve">Israel will lend to many nations but not borrow; will rule but not be ruled — if obedient</w:t>
            </w:r>
          </w:p>
        </w:tc>
        <w:tc>
          <w:tcPr/>
          <w:p>
            <w:pPr>
              <w:pStyle w:val="Compact"/>
            </w:pPr>
            <w:r>
              <w:t xml:space="preserve">National-level flourishing as the fruit of covenant fidelity</w:t>
            </w:r>
          </w:p>
        </w:tc>
      </w:tr>
      <w:tr>
        <w:tc>
          <w:tcPr/>
          <w:p>
            <w:pPr>
              <w:pStyle w:val="Compact"/>
            </w:pPr>
            <w:r>
              <w:t xml:space="preserve">15:7</w:t>
            </w:r>
          </w:p>
        </w:tc>
        <w:tc>
          <w:tcPr/>
          <w:p>
            <w:pPr>
              <w:pStyle w:val="Compact"/>
            </w:pPr>
            <w:r>
              <w:t xml:space="preserve">Do not harden your heart or shut your hand against your poor brother</w:t>
            </w:r>
          </w:p>
        </w:tc>
        <w:tc>
          <w:tcPr/>
          <w:p>
            <w:pPr>
              <w:pStyle w:val="Compact"/>
            </w:pPr>
            <w:r>
              <w:t xml:space="preserve">The anti-hoarding command; heart before hand — inward disposition precedes action</w:t>
            </w:r>
          </w:p>
        </w:tc>
      </w:tr>
      <w:tr>
        <w:tc>
          <w:tcPr/>
          <w:p>
            <w:pPr>
              <w:pStyle w:val="Compact"/>
            </w:pPr>
            <w:r>
              <w:t xml:space="preserve">15:8</w:t>
            </w:r>
          </w:p>
        </w:tc>
        <w:tc>
          <w:tcPr/>
          <w:p>
            <w:pPr>
              <w:pStyle w:val="Compact"/>
            </w:pPr>
            <w:r>
              <w:t xml:space="preserve">Open wide your hand and lend sufficiently for his need</w:t>
            </w:r>
          </w:p>
        </w:tc>
        <w:tc>
          <w:tcPr/>
          <w:p>
            <w:pPr>
              <w:pStyle w:val="Compact"/>
            </w:pPr>
            <w:r>
              <w:t xml:space="preserve">The positive command: openhanded generosity, proportionate to need</w:t>
            </w:r>
          </w:p>
        </w:tc>
      </w:tr>
      <w:tr>
        <w:tc>
          <w:tcPr/>
          <w:p>
            <w:pPr>
              <w:pStyle w:val="Compact"/>
            </w:pPr>
            <w:r>
              <w:t xml:space="preserve">15:9</w:t>
            </w:r>
          </w:p>
        </w:tc>
        <w:tc>
          <w:tcPr/>
          <w:p>
            <w:pPr>
              <w:pStyle w:val="Compact"/>
            </w:pPr>
            <w:r>
              <w:t xml:space="preserve">Warning: do not let the nearness of the seventh year create a closed heart</w:t>
            </w:r>
          </w:p>
        </w:tc>
        <w:tc>
          <w:tcPr/>
          <w:p>
            <w:pPr>
              <w:pStyle w:val="Compact"/>
            </w:pPr>
            <w:r>
              <w:t xml:space="preserve">Anticipates rationalized withholding; names the temptation explicitly</w:t>
            </w:r>
          </w:p>
        </w:tc>
      </w:tr>
      <w:tr>
        <w:tc>
          <w:tcPr/>
          <w:p>
            <w:pPr>
              <w:pStyle w:val="Compact"/>
            </w:pPr>
            <w:r>
              <w:t xml:space="preserve">15:10</w:t>
            </w:r>
          </w:p>
        </w:tc>
        <w:tc>
          <w:tcPr/>
          <w:p>
            <w:pPr>
              <w:pStyle w:val="Compact"/>
            </w:pPr>
            <w:r>
              <w:t xml:space="preserve">Give freely and without begrudging; the LORD will bless you for this</w:t>
            </w:r>
          </w:p>
        </w:tc>
        <w:tc>
          <w:tcPr/>
          <w:p>
            <w:pPr>
              <w:pStyle w:val="Compact"/>
            </w:pPr>
            <w:r>
              <w:t xml:space="preserve">Motivation: divine blessing of the open hand</w:t>
            </w:r>
          </w:p>
        </w:tc>
      </w:tr>
      <w:tr>
        <w:tc>
          <w:tcPr/>
          <w:p>
            <w:pPr>
              <w:pStyle w:val="Compact"/>
            </w:pPr>
            <w:r>
              <w:t xml:space="preserve">15:11</w:t>
            </w:r>
          </w:p>
        </w:tc>
        <w:tc>
          <w:tcPr/>
          <w:p>
            <w:pPr>
              <w:pStyle w:val="Compact"/>
            </w:pPr>
            <w:r>
              <w:t xml:space="preserve">“The poor will never cease from the land”</w:t>
            </w:r>
            <w:r>
              <w:t xml:space="preserve"> </w:t>
            </w:r>
            <w:r>
              <w:t xml:space="preserve">— therefore, open wide your hand</w:t>
            </w:r>
          </w:p>
        </w:tc>
        <w:tc>
          <w:tcPr/>
          <w:p>
            <w:pPr>
              <w:pStyle w:val="Compact"/>
            </w:pPr>
            <w:r>
              <w:t xml:space="preserve">Realistic acknowledgment paired with permanent command;</w:t>
            </w:r>
            <w:r>
              <w:t xml:space="preserve"> </w:t>
            </w:r>
            <w:r>
              <w:t xml:space="preserve">“therefore”</w:t>
            </w:r>
            <w:r>
              <w:t xml:space="preserve"> </w:t>
            </w:r>
            <w:r>
              <w:t xml:space="preserve">is load-bearing</w:t>
            </w:r>
          </w:p>
        </w:tc>
      </w:tr>
      <w:tr>
        <w:tc>
          <w:tcPr/>
          <w:p>
            <w:pPr>
              <w:pStyle w:val="Compact"/>
            </w:pPr>
            <w:r>
              <w:t xml:space="preserve">15:12</w:t>
            </w:r>
          </w:p>
        </w:tc>
        <w:tc>
          <w:tcPr/>
          <w:p>
            <w:pPr>
              <w:pStyle w:val="Compact"/>
            </w:pPr>
            <w:r>
              <w:t xml:space="preserve">A Hebrew sold to you shall serve six years; in the seventh year, set him free</w:t>
            </w:r>
          </w:p>
        </w:tc>
        <w:tc>
          <w:tcPr/>
          <w:p>
            <w:pPr>
              <w:pStyle w:val="Compact"/>
            </w:pPr>
            <w:r>
              <w:t xml:space="preserve">The slave-release law; parallel structure to the debt-release</w:t>
            </w:r>
          </w:p>
        </w:tc>
      </w:tr>
      <w:tr>
        <w:tc>
          <w:tcPr/>
          <w:p>
            <w:pPr>
              <w:pStyle w:val="Compact"/>
            </w:pPr>
            <w:r>
              <w:t xml:space="preserve">15:13</w:t>
            </w:r>
          </w:p>
        </w:tc>
        <w:tc>
          <w:tcPr/>
          <w:p>
            <w:pPr>
              <w:pStyle w:val="Compact"/>
            </w:pPr>
            <w:r>
              <w:t xml:space="preserve">Do not release him empty-handed</w:t>
            </w:r>
          </w:p>
        </w:tc>
        <w:tc>
          <w:tcPr/>
          <w:p>
            <w:pPr>
              <w:pStyle w:val="Compact"/>
            </w:pPr>
            <w:r>
              <w:t xml:space="preserve">The generosity-at-release command — liberation must be materially dignified</w:t>
            </w:r>
          </w:p>
        </w:tc>
      </w:tr>
      <w:tr>
        <w:tc>
          <w:tcPr/>
          <w:p>
            <w:pPr>
              <w:pStyle w:val="Compact"/>
            </w:pPr>
            <w:r>
              <w:t xml:space="preserve">15:14</w:t>
            </w:r>
          </w:p>
        </w:tc>
        <w:tc>
          <w:tcPr/>
          <w:p>
            <w:pPr>
              <w:pStyle w:val="Compact"/>
            </w:pPr>
            <w:r>
              <w:t xml:space="preserve">Furnish him liberally from flock, threshing floor, and winepress</w:t>
            </w:r>
          </w:p>
        </w:tc>
        <w:tc>
          <w:tcPr/>
          <w:p>
            <w:pPr>
              <w:pStyle w:val="Compact"/>
            </w:pPr>
            <w:r>
              <w:t xml:space="preserve">Specific, concrete generosity — not token release</w:t>
            </w:r>
          </w:p>
        </w:tc>
      </w:tr>
      <w:tr>
        <w:tc>
          <w:tcPr/>
          <w:p>
            <w:pPr>
              <w:pStyle w:val="Compact"/>
            </w:pPr>
            <w:r>
              <w:t xml:space="preserve">15:15</w:t>
            </w:r>
          </w:p>
        </w:tc>
        <w:tc>
          <w:tcPr/>
          <w:p>
            <w:pPr>
              <w:pStyle w:val="Compact"/>
            </w:pPr>
            <w:r>
              <w:t xml:space="preserve">“Remember that you were a slave in Egypt, and the LORD your God redeemed you”</w:t>
            </w:r>
          </w:p>
        </w:tc>
        <w:tc>
          <w:tcPr/>
          <w:p>
            <w:pPr>
              <w:pStyle w:val="Compact"/>
            </w:pPr>
            <w:r>
              <w:t xml:space="preserve">The theological grounding: exodus memory as the engine of generosity</w:t>
            </w:r>
          </w:p>
        </w:tc>
      </w:tr>
      <w:tr>
        <w:tc>
          <w:tcPr/>
          <w:p>
            <w:pPr>
              <w:pStyle w:val="Compact"/>
            </w:pPr>
            <w:r>
              <w:t xml:space="preserve">15:16–17</w:t>
            </w:r>
          </w:p>
        </w:tc>
        <w:tc>
          <w:tcPr/>
          <w:p>
            <w:pPr>
              <w:pStyle w:val="Compact"/>
            </w:pPr>
            <w:r>
              <w:t xml:space="preserve">If the servant loves his master and does not wish to leave, the master bores his ear with an awl — he is your servant forever</w:t>
            </w:r>
          </w:p>
        </w:tc>
        <w:tc>
          <w:tcPr/>
          <w:p>
            <w:pPr>
              <w:pStyle w:val="Compact"/>
            </w:pPr>
            <w:r>
              <w:t xml:space="preserve">Provision for voluntary permanent servitude; an act of love and belonging, not coercion</w:t>
            </w:r>
          </w:p>
        </w:tc>
      </w:tr>
      <w:tr>
        <w:tc>
          <w:tcPr/>
          <w:p>
            <w:pPr>
              <w:pStyle w:val="Compact"/>
            </w:pPr>
            <w:r>
              <w:t xml:space="preserve">15:18</w:t>
            </w:r>
          </w:p>
        </w:tc>
        <w:tc>
          <w:tcPr/>
          <w:p>
            <w:pPr>
              <w:pStyle w:val="Compact"/>
            </w:pPr>
            <w:r>
              <w:t xml:space="preserve">Do not regard it as a hardship — his six years of service was worth double a hired worker</w:t>
            </w:r>
          </w:p>
        </w:tc>
        <w:tc>
          <w:tcPr/>
          <w:p>
            <w:pPr>
              <w:pStyle w:val="Compact"/>
            </w:pPr>
            <w:r>
              <w:t xml:space="preserve">Economic reframe: the servant has been economically beneficial; generous release is not a loss</w:t>
            </w:r>
          </w:p>
        </w:tc>
      </w:tr>
      <w:tr>
        <w:tc>
          <w:tcPr/>
          <w:p>
            <w:pPr>
              <w:pStyle w:val="Compact"/>
            </w:pPr>
            <w:r>
              <w:t xml:space="preserve">15:19</w:t>
            </w:r>
          </w:p>
        </w:tc>
        <w:tc>
          <w:tcPr/>
          <w:p>
            <w:pPr>
              <w:pStyle w:val="Compact"/>
            </w:pPr>
            <w:r>
              <w:t xml:space="preserve">All firstborn males of herd and flock are consecrated to the LORD; do not work the ox or shear the sheep</w:t>
            </w:r>
          </w:p>
        </w:tc>
        <w:tc>
          <w:tcPr/>
          <w:p>
            <w:pPr>
              <w:pStyle w:val="Compact"/>
            </w:pPr>
            <w:r>
              <w:t xml:space="preserve">Cultic appendix: firstborn belong to God</w:t>
            </w:r>
          </w:p>
        </w:tc>
      </w:tr>
      <w:tr>
        <w:tc>
          <w:tcPr/>
          <w:p>
            <w:pPr>
              <w:pStyle w:val="Compact"/>
            </w:pPr>
            <w:r>
              <w:t xml:space="preserve">15:20</w:t>
            </w:r>
          </w:p>
        </w:tc>
        <w:tc>
          <w:tcPr/>
          <w:p>
            <w:pPr>
              <w:pStyle w:val="Compact"/>
            </w:pPr>
            <w:r>
              <w:t xml:space="preserve">Eat the firstborn before the LORD at the sanctuary each year</w:t>
            </w:r>
          </w:p>
        </w:tc>
        <w:tc>
          <w:tcPr/>
          <w:p>
            <w:pPr>
              <w:pStyle w:val="Compact"/>
            </w:pPr>
            <w:r>
              <w:t xml:space="preserve">Communal worship-meal at the central sanctuary</w:t>
            </w:r>
          </w:p>
        </w:tc>
      </w:tr>
      <w:tr>
        <w:tc>
          <w:tcPr/>
          <w:p>
            <w:pPr>
              <w:pStyle w:val="Compact"/>
            </w:pPr>
            <w:r>
              <w:t xml:space="preserve">15:21</w:t>
            </w:r>
          </w:p>
        </w:tc>
        <w:tc>
          <w:tcPr/>
          <w:p>
            <w:pPr>
              <w:pStyle w:val="Compact"/>
            </w:pPr>
            <w:r>
              <w:t xml:space="preserve">If the firstborn has a defect, it shall not be sacrificed</w:t>
            </w:r>
          </w:p>
        </w:tc>
        <w:tc>
          <w:tcPr/>
          <w:p>
            <w:pPr>
              <w:pStyle w:val="Compact"/>
            </w:pPr>
            <w:r>
              <w:t xml:space="preserve">Sanctuary sacrifice requires wholeness; defective animals are disqualified</w:t>
            </w:r>
          </w:p>
        </w:tc>
      </w:tr>
      <w:tr>
        <w:tc>
          <w:tcPr/>
          <w:p>
            <w:pPr>
              <w:pStyle w:val="Compact"/>
            </w:pPr>
            <w:r>
              <w:t xml:space="preserve">15:22–23</w:t>
            </w:r>
          </w:p>
        </w:tc>
        <w:tc>
          <w:tcPr/>
          <w:p>
            <w:pPr>
              <w:pStyle w:val="Compact"/>
            </w:pPr>
            <w:r>
              <w:t xml:space="preserve">The defective firstborn may be eaten at home, but blood must be poured out on the ground</w:t>
            </w:r>
          </w:p>
        </w:tc>
        <w:tc>
          <w:tcPr/>
          <w:p>
            <w:pPr>
              <w:pStyle w:val="Compact"/>
            </w:pPr>
            <w:r>
              <w:t xml:space="preserve">Even the exempted animal follows the blood-prohibition; holiness categories remain operative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15:1–6</w:t>
            </w:r>
          </w:p>
        </w:tc>
        <w:tc>
          <w:tcPr/>
          <w:p>
            <w:pPr>
              <w:pStyle w:val="Compact"/>
            </w:pPr>
            <w:r>
              <w:t xml:space="preserve">The Sabbatical Release of Debts: The Institution and Its Blessing</w:t>
            </w:r>
          </w:p>
        </w:tc>
      </w:tr>
      <w:tr>
        <w:tc>
          <w:tcPr/>
          <w:p>
            <w:pPr>
              <w:pStyle w:val="Compact"/>
            </w:pPr>
            <w:r>
              <w:t xml:space="preserve">2</w:t>
            </w:r>
          </w:p>
        </w:tc>
        <w:tc>
          <w:tcPr/>
          <w:p>
            <w:pPr>
              <w:pStyle w:val="Compact"/>
            </w:pPr>
            <w:r>
              <w:t xml:space="preserve">15:7–11</w:t>
            </w:r>
          </w:p>
        </w:tc>
        <w:tc>
          <w:tcPr/>
          <w:p>
            <w:pPr>
              <w:pStyle w:val="Compact"/>
            </w:pPr>
            <w:r>
              <w:t xml:space="preserve">The Open Hand: Motivation and Warning Against Closefistedness</w:t>
            </w:r>
          </w:p>
        </w:tc>
      </w:tr>
      <w:tr>
        <w:tc>
          <w:tcPr/>
          <w:p>
            <w:pPr>
              <w:pStyle w:val="Compact"/>
            </w:pPr>
            <w:r>
              <w:t xml:space="preserve">3</w:t>
            </w:r>
          </w:p>
        </w:tc>
        <w:tc>
          <w:tcPr/>
          <w:p>
            <w:pPr>
              <w:pStyle w:val="Compact"/>
            </w:pPr>
            <w:r>
              <w:t xml:space="preserve">15:12–18</w:t>
            </w:r>
          </w:p>
        </w:tc>
        <w:tc>
          <w:tcPr/>
          <w:p>
            <w:pPr>
              <w:pStyle w:val="Compact"/>
            </w:pPr>
            <w:r>
              <w:t xml:space="preserve">The Release of Hebrew Servants: Liberation with Generous Dignity</w:t>
            </w:r>
          </w:p>
        </w:tc>
      </w:tr>
      <w:tr>
        <w:tc>
          <w:tcPr/>
          <w:p>
            <w:pPr>
              <w:pStyle w:val="Compact"/>
            </w:pPr>
            <w:r>
              <w:t xml:space="preserve">4</w:t>
            </w:r>
          </w:p>
        </w:tc>
        <w:tc>
          <w:tcPr/>
          <w:p>
            <w:pPr>
              <w:pStyle w:val="Compact"/>
            </w:pPr>
            <w:r>
              <w:t xml:space="preserve">15:19–23</w:t>
            </w:r>
          </w:p>
        </w:tc>
        <w:tc>
          <w:tcPr/>
          <w:p>
            <w:pPr>
              <w:pStyle w:val="Compact"/>
            </w:pPr>
            <w:r>
              <w:t xml:space="preserve">The Firstborn of Livestock: What Belongs to the LORD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redeemed community is commanded to mirror God’s grace in its economic and social life.</w:t>
      </w:r>
    </w:p>
    <w:p>
      <w:pPr>
        <w:pStyle w:val="BodyText"/>
      </w:pPr>
      <w:r>
        <w:rPr>
          <w:b/>
          <w:bCs/>
        </w:rPr>
        <w:t xml:space="preserve">Primary Claim:</w:t>
      </w:r>
      <w:r>
        <w:t xml:space="preserve"> </w:t>
      </w:r>
      <w:r>
        <w:t xml:space="preserve">Because Israel has been liberated by grace, God now calls them to structure their common life — debt, labor, wealth — around open-handed generosity rather than self-protective hoarding, trusting that He is the God who blesses the open hand.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story your financial decisions tell about your theology.</w:t>
      </w:r>
      <w:r>
        <w:t xml:space="preserve"> </w:t>
      </w:r>
      <w:r>
        <w:rPr>
          <w:i/>
          <w:iCs/>
        </w:rPr>
        <w:t xml:space="preserve">(Mind/belief)</w:t>
      </w:r>
      <w:r>
        <w:t xml:space="preserve"> </w:t>
      </w:r>
      <w:r>
        <w:t xml:space="preserve">The chapter’s repeated question is not</w:t>
      </w:r>
      <w:r>
        <w:t xml:space="preserve"> </w:t>
      </w:r>
      <w:r>
        <w:t xml:space="preserve">“how much do you give?”</w:t>
      </w:r>
      <w:r>
        <w:t xml:space="preserve"> </w:t>
      </w:r>
      <w:r>
        <w:t xml:space="preserve">but</w:t>
      </w:r>
      <w:r>
        <w:t xml:space="preserve"> </w:t>
      </w:r>
      <w:r>
        <w:t xml:space="preserve">“what do you believe about scarcity and provision?”</w:t>
      </w:r>
      <w:r>
        <w:t xml:space="preserve"> </w:t>
      </w:r>
      <w:r>
        <w:t xml:space="preserve">A person who rationalizes withholding help from a struggling brother because the timing is inconvenient (v. 9) is not merely being stingy — they are functioning as a practical atheist who believes their resources are ultimately their own security rather than entrusted goods under a generous God. Before any behavior changes, ask the prior question: what does my actual financial life reveal that I believe about God? The nearness of a cost, a risk, or an inconvenience should not close your hand — unless you have quietly concluded that God cannot be trusted to make up the difference.</w:t>
      </w:r>
    </w:p>
    <w:p>
      <w:pPr>
        <w:pStyle w:val="BodyText"/>
      </w:pPr>
      <w:r>
        <w:rPr>
          <w:b/>
          <w:bCs/>
        </w:rPr>
        <w:t xml:space="preserve">2. Let the memory of your own liberation be the engine of your generosity.</w:t>
      </w:r>
      <w:r>
        <w:t xml:space="preserve"> </w:t>
      </w:r>
      <w:r>
        <w:rPr>
          <w:i/>
          <w:iCs/>
        </w:rPr>
        <w:t xml:space="preserve">(Affections/worship)</w:t>
      </w:r>
      <w:r>
        <w:t xml:space="preserve"> </w:t>
      </w:r>
      <w:r>
        <w:t xml:space="preserve">The law does not merely command generosity — it grounds it:</w:t>
      </w:r>
      <w:r>
        <w:t xml:space="preserve"> </w:t>
      </w:r>
      <w:r>
        <w:t xml:space="preserve">“Remember that you were a slave in Egypt, and the LORD your God redeemed you”</w:t>
      </w:r>
      <w:r>
        <w:t xml:space="preserve"> </w:t>
      </w:r>
      <w:r>
        <w:t xml:space="preserve">(v. 15). For the Christian, the equivalent memory is the cross. You were in debt you could not repay. You were in bondage you could not break. The LORD released you — not at the seventh year, but at the appointed time, and not by canceling a loan but by absorbing its cost Himself. When generosity feels costly, the failure is almost always a failure of memory. Spend time with the extent of your own debt before you calculate the cost of releasing someone else’s.</w:t>
      </w:r>
    </w:p>
    <w:p>
      <w:pPr>
        <w:pStyle w:val="BodyText"/>
      </w:pPr>
      <w:r>
        <w:rPr>
          <w:b/>
          <w:bCs/>
        </w:rPr>
        <w:t xml:space="preserve">3. Do not release people empty-handed.</w:t>
      </w:r>
      <w:r>
        <w:t xml:space="preserve"> </w:t>
      </w:r>
      <w:r>
        <w:rPr>
          <w:i/>
          <w:iCs/>
        </w:rPr>
        <w:t xml:space="preserve">(Will/behavior)</w:t>
      </w:r>
      <w:r>
        <w:t xml:space="preserve"> </w:t>
      </w:r>
      <w:r>
        <w:t xml:space="preserve">Verse 13 is relentlessly concrete:</w:t>
      </w:r>
      <w:r>
        <w:t xml:space="preserve"> </w:t>
      </w:r>
      <w:r>
        <w:t xml:space="preserve">“You shall not let him go empty-handed.”</w:t>
      </w:r>
      <w:r>
        <w:t xml:space="preserve"> </w:t>
      </w:r>
      <w:r>
        <w:t xml:space="preserve">The law is not satisfied with technical compliance — releasing a servant after six years with nothing is a kind of cruelty disguised as obedience. The principle extends: when someone exits a difficult season of dependence on your help, your church’s support, or your community’s care, the question is not merely</w:t>
      </w:r>
      <w:r>
        <w:t xml:space="preserve"> </w:t>
      </w:r>
      <w:r>
        <w:t xml:space="preserve">“have we fulfilled the minimum?”</w:t>
      </w:r>
      <w:r>
        <w:t xml:space="preserve"> </w:t>
      </w:r>
      <w:r>
        <w:t xml:space="preserve">but</w:t>
      </w:r>
      <w:r>
        <w:t xml:space="preserve"> </w:t>
      </w:r>
      <w:r>
        <w:t xml:space="preserve">“have we equipped them for what comes next?”</w:t>
      </w:r>
      <w:r>
        <w:t xml:space="preserve"> </w:t>
      </w:r>
      <w:r>
        <w:t xml:space="preserve">Consider where you or your church discharge an obligation — a counseling relationship, a period of financial support, a mentoring season — and examine whether the person leaves genuinely resourced or merely formally released.</w:t>
      </w:r>
    </w:p>
    <w:p>
      <w:pPr>
        <w:pStyle w:val="BodyText"/>
      </w:pPr>
      <w:r>
        <w:rPr>
          <w:b/>
          <w:bCs/>
        </w:rPr>
        <w:t xml:space="preserve">4. Resist the rationalized closefistedness that the approaching cost produces.</w:t>
      </w:r>
      <w:r>
        <w:t xml:space="preserve"> </w:t>
      </w:r>
      <w:r>
        <w:rPr>
          <w:i/>
          <w:iCs/>
        </w:rPr>
        <w:t xml:space="preserve">(Will/behavior)</w:t>
      </w:r>
      <w:r>
        <w:t xml:space="preserve"> </w:t>
      </w:r>
      <w:r>
        <w:t xml:space="preserve">Moses names a specific and recurring temptation: the nearer the cost, the more the heart finds reasons not to give (v. 9).</w:t>
      </w:r>
      <w:r>
        <w:t xml:space="preserve"> </w:t>
      </w:r>
      <w:r>
        <w:t xml:space="preserve">“It’s almost the seventh year”</w:t>
      </w:r>
      <w:r>
        <w:t xml:space="preserve"> </w:t>
      </w:r>
      <w:r>
        <w:t xml:space="preserve">was the ancient version of</w:t>
      </w:r>
      <w:r>
        <w:t xml:space="preserve"> </w:t>
      </w:r>
      <w:r>
        <w:t xml:space="preserve">“now isn’t a good time”</w:t>
      </w:r>
      <w:r>
        <w:t xml:space="preserve"> </w:t>
      </w:r>
      <w:r>
        <w:t xml:space="preserve">or</w:t>
      </w:r>
      <w:r>
        <w:t xml:space="preserve"> </w:t>
      </w:r>
      <w:r>
        <w:t xml:space="preserve">“I need to think about my own financial security right now.”</w:t>
      </w:r>
      <w:r>
        <w:t xml:space="preserve"> </w:t>
      </w:r>
      <w:r>
        <w:t xml:space="preserve">The principle recurs at every scale — the approaching tuition bill, the upcoming home repair, the economic uncertainty — and in each case the temptation is to dress up self-protection as prudence. The text names this thought as a sin (</w:t>
      </w:r>
      <w:r>
        <w:t xml:space="preserve">“be careful lest there be a wicked thought in your heart”</w:t>
      </w:r>
      <w:r>
        <w:t xml:space="preserve">) and commands the open hand anyway, with a promise: the LORD will bless you for this. Prudence and obedience are not synonyms. Identify one place where approaching cost is closing your hand and open it.</w:t>
      </w:r>
    </w:p>
    <w:p>
      <w:pPr>
        <w:pStyle w:val="BodyText"/>
      </w:pPr>
      <w:r>
        <w:rPr>
          <w:b/>
          <w:bCs/>
        </w:rPr>
        <w:t xml:space="preserve">5. Let your community be one in which the ideal of verse 4 becomes increasingly visible.</w:t>
      </w:r>
      <w:r>
        <w:t xml:space="preserve"> </w:t>
      </w:r>
      <w:r>
        <w:rPr>
          <w:i/>
          <w:iCs/>
        </w:rPr>
        <w:t xml:space="preserve">(Affections/worship)</w:t>
      </w:r>
      <w:r>
        <w:t xml:space="preserve"> </w:t>
      </w:r>
      <w:r>
        <w:t xml:space="preserve">“There need be no poor among you”</w:t>
      </w:r>
      <w:r>
        <w:t xml:space="preserve"> </w:t>
      </w:r>
      <w:r>
        <w:t xml:space="preserve">is a covenantal vision, not a naive promise — and the Acts 4 community shows it is possible, at least partially and temporarily, when the Spirit is at work. The question for every congregation is not</w:t>
      </w:r>
      <w:r>
        <w:t xml:space="preserve"> </w:t>
      </w:r>
      <w:r>
        <w:t xml:space="preserve">“is this realistic?”</w:t>
      </w:r>
      <w:r>
        <w:t xml:space="preserve"> </w:t>
      </w:r>
      <w:r>
        <w:t xml:space="preserve">but</w:t>
      </w:r>
      <w:r>
        <w:t xml:space="preserve"> </w:t>
      </w:r>
      <w:r>
        <w:t xml:space="preserve">“are we moving toward it or away from it?”</w:t>
      </w:r>
      <w:r>
        <w:t xml:space="preserve"> </w:t>
      </w:r>
      <w:r>
        <w:t xml:space="preserve">The early church’s economic sharing was not a program — it was the spontaneous fruit of a community that believed the resurrection had changed everything, including their relationship to money and possessions. Grieve the gap between the vision and your current reality. Then ask what one structural or relational step your community could take toward the Deuteronomy 15 ideal — not as social programming, but as witness to the economics of the Kingdom.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15 is one of Scripture’s most sustained treatments of the relationship between redemption and economics — demonstrating that God’s claim on His people is not limited to their worship but extends to their financial life in its full concreteness. The chapter reveals a God who is not indifferent to poverty, vulnerability, or economic bondage within His community, and who structures His law to address these conditions with systemic care. The theology here is covenantal and motivational: God does not merely command generosity as an external requirement but grounds it in the prior reality of what He has done —</w:t>
      </w:r>
      <w:r>
        <w:t xml:space="preserve"> </w:t>
      </w:r>
      <w:r>
        <w:t xml:space="preserve">“the LORD your God redeemed you”</w:t>
      </w:r>
      <w:r>
        <w:t xml:space="preserve"> </w:t>
      </w:r>
      <w:r>
        <w:t xml:space="preserve">(v. 15). This means that open-handed generosity is not first a social ethic but a theological response — a community’s visible testimony that it believes its God is the Lord of all resources and the guarantor of all genuine security. The repeated promise of blessing on the open hand (vv. 4, 6, 10, 18) reveals a God whose economy is abundance-generating rather than scarcity-reinforcing.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15 functions within Reformed theology as a paradigmatic example of the third use of the law — the law as guide for the redeemed community, shaping the practical life of a people already constituted by grace. The chapter’s motivational structure is identical to the New Testament’s: grace received becomes the engine of grace extended. This is why Paul, in 2 Corinthians 8–9, does not re-institute the</w:t>
      </w:r>
      <w:r>
        <w:t xml:space="preserve"> </w:t>
      </w:r>
      <w:r>
        <w:rPr>
          <w:i/>
          <w:iCs/>
        </w:rPr>
        <w:t xml:space="preserve">shemittah</w:t>
      </w:r>
      <w:r>
        <w:t xml:space="preserve"> </w:t>
      </w:r>
      <w:r>
        <w:t xml:space="preserve">mechanism but draws directly on its theological logic, grounding Corinthian generosity in the grace of Christ who</w:t>
      </w:r>
      <w:r>
        <w:t xml:space="preserve"> </w:t>
      </w:r>
      <w:r>
        <w:t xml:space="preserve">“became poor so that by his poverty you might become rich”</w:t>
      </w:r>
      <w:r>
        <w:t xml:space="preserve"> </w:t>
      </w:r>
      <w:r>
        <w:t xml:space="preserve">— the ultimate release, the final</w:t>
      </w:r>
      <w:r>
        <w:t xml:space="preserve"> </w:t>
      </w:r>
      <w:r>
        <w:rPr>
          <w:i/>
          <w:iCs/>
        </w:rPr>
        <w:t xml:space="preserve">shemittah</w:t>
      </w:r>
      <w:r>
        <w:t xml:space="preserve">, absorbed by the Creditor Himself. Reformed theology insists that the law does not save but does show the shape of a saved life; Deuteronomy 15 shows that shape in its economic dimension. The passage also grounds the Reformed understanding of common grace and vocation: the structures of economic life are not theologically neutral but are arenas in which the people of God embody their identity as liberated, grace-formed community. The firstborn law (vv. 19–23) adds a cultic dimension that reinforces the chapter’s theological center: all that is first and best belongs to the LORD, and the management of all goods takes place under His sovereign claim.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been released from a debt you could not pay and a bondage you could not break — not at the seventh year, but at the cross. That release was not partial, not conditional on your performance, and not empty-handed: you were furnished generously for the life ahead. Now God asks you a single question: does that reality show up in how you hold your money, treat your debtors, and care for the vulnerable in your community? Open your hand. He is the God who blesses the open hand.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social program or political argument.</w:t>
      </w:r>
      <w:r>
        <w:t xml:space="preserve"> </w:t>
      </w:r>
      <w:r>
        <w:t xml:space="preserve">Deuteronomy 15 has been invoked in debates about debt relief, minimum wage, wealth redistribution, and welfare policy across the political spectrum. These applications are not always wrong, but when the sermon becomes a case for or against a social policy rather than a call to covenantal community life grounded in the gospel, it has lost the text. The primary audience is the covenant community, not the legislature. Preach it as formation of God’s people, not advocacy for a policy platform.</w:t>
      </w:r>
    </w:p>
    <w:p>
      <w:pPr>
        <w:numPr>
          <w:ilvl w:val="0"/>
          <w:numId w:val="1002"/>
        </w:numPr>
      </w:pPr>
      <w:r>
        <w:rPr>
          <w:b/>
          <w:bCs/>
        </w:rPr>
        <w:t xml:space="preserve">Flattening the conditionality of verse 4.</w:t>
      </w:r>
      <w:r>
        <w:t xml:space="preserve"> </w:t>
      </w:r>
      <w:r>
        <w:t xml:space="preserve">“There need be no poor among you”</w:t>
      </w:r>
      <w:r>
        <w:t xml:space="preserve"> </w:t>
      </w:r>
      <w:r>
        <w:t xml:space="preserve">is not a promise that poverty will be eradicated, nor a indictment that poverty’s presence proves the church’s failure. It is a conditional covenantal ideal — what covenant-obedient community life would look like at scale. Preaching it as either an unconditional promise or a political accusation misreads both its grammar and its genre. Hold the tension: the ideal is real, the condition is real, and the permanent command of verse 11 is also real.</w:t>
      </w:r>
    </w:p>
    <w:p>
      <w:pPr>
        <w:numPr>
          <w:ilvl w:val="0"/>
          <w:numId w:val="1002"/>
        </w:numPr>
      </w:pPr>
      <w:r>
        <w:rPr>
          <w:b/>
          <w:bCs/>
        </w:rPr>
        <w:t xml:space="preserve">Treating the slave-release law as a comment on modern labor relations without contextual discipline.</w:t>
      </w:r>
      <w:r>
        <w:t xml:space="preserve"> </w:t>
      </w:r>
      <w:r>
        <w:t xml:space="preserve">The</w:t>
      </w:r>
      <w:r>
        <w:t xml:space="preserve"> </w:t>
      </w:r>
      <w:r>
        <w:rPr>
          <w:i/>
          <w:iCs/>
        </w:rPr>
        <w:t xml:space="preserve">eved</w:t>
      </w:r>
      <w:r>
        <w:t xml:space="preserve"> </w:t>
      </w:r>
      <w:r>
        <w:t xml:space="preserve">(servant/slave) of this passage is a debt-servant within a covenant community with strict protections — not a chattel slave, not an employee in the modern sense. Analogical application is legitimate, but the contextual specificity must be respected or the application will be either under-powered (too vague) or over-powered (forcing ancient law onto modern employment contexts it was not designed to address).</w:t>
      </w:r>
    </w:p>
    <w:p>
      <w:pPr>
        <w:numPr>
          <w:ilvl w:val="0"/>
          <w:numId w:val="1002"/>
        </w:numPr>
      </w:pPr>
      <w:r>
        <w:rPr>
          <w:b/>
          <w:bCs/>
        </w:rPr>
        <w:t xml:space="preserve">Missing the heart language of verses 7–10.</w:t>
      </w:r>
      <w:r>
        <w:t xml:space="preserve"> </w:t>
      </w:r>
      <w:r>
        <w:t xml:space="preserve">The text does not merely command the open hand — it commands the open heart first (</w:t>
      </w:r>
      <w:r>
        <w:t xml:space="preserve">“do not harden your heart,”</w:t>
      </w:r>
      <w:r>
        <w:t xml:space="preserve"> </w:t>
      </w:r>
      <w:r>
        <w:t xml:space="preserve">v. 7;</w:t>
      </w:r>
      <w:r>
        <w:t xml:space="preserve"> </w:t>
      </w:r>
      <w:r>
        <w:t xml:space="preserve">“be careful lest there be a wicked thought in your heart,”</w:t>
      </w:r>
      <w:r>
        <w:t xml:space="preserve"> </w:t>
      </w:r>
      <w:r>
        <w:t xml:space="preserve">v. 9). Preaching only the behavioral command without diagnosing the heart condition that precedes it produces moralism — a sermon about giving more money without addressing the idol of security and control that closes the fist. The text goes after the root, and the sermon must too.</w:t>
      </w:r>
    </w:p>
    <w:p>
      <w:pPr>
        <w:numPr>
          <w:ilvl w:val="0"/>
          <w:numId w:val="1002"/>
        </w:numPr>
      </w:pPr>
      <w:r>
        <w:rPr>
          <w:b/>
          <w:bCs/>
        </w:rPr>
        <w:t xml:space="preserve">Losing the redemptive-historical center of verse 15.</w:t>
      </w:r>
      <w:r>
        <w:t xml:space="preserve"> </w:t>
      </w:r>
      <w:r>
        <w:t xml:space="preserve">The command</w:t>
      </w:r>
      <w:r>
        <w:t xml:space="preserve"> </w:t>
      </w:r>
      <w:r>
        <w:t xml:space="preserve">“remember that you were a slave in Egypt, and the LORD your God redeemed you”</w:t>
      </w:r>
      <w:r>
        <w:t xml:space="preserve"> </w:t>
      </w:r>
      <w:r>
        <w:t xml:space="preserve">(v. 15) is not merely a rhetorical flourish — it is the theological load-bearing wall of the entire chapter. If the sermon does not land here and does not connect this memory to the Christian’s deeper and more complete exodus in Christ, the applications will float free of their gospel grounding and the sermon will become a moralistic call to generous behavior rather than a gospel-motivated call to covenantal life. Every application in this chapter flows from verse 15.</w:t>
      </w:r>
    </w:p>
    <w:p>
      <w:pPr>
        <w:numPr>
          <w:ilvl w:val="0"/>
          <w:numId w:val="1002"/>
        </w:numPr>
      </w:pPr>
      <w:r>
        <w:rPr>
          <w:b/>
          <w:bCs/>
        </w:rPr>
        <w:t xml:space="preserve">Neglecting the firstborn appendix (vv. 19–23) entirely.</w:t>
      </w:r>
      <w:r>
        <w:t xml:space="preserve"> </w:t>
      </w:r>
      <w:r>
        <w:t xml:space="preserve">It is tempting to treat verses 19–23 as an unrelated legal appendix and skip them. But the cultic provision is theologically connected to the chapter’s center: the firstborn belongs to the LORD, is not to be put to common use, and is to be brought before Him in worship. This is the same logic driving the debt-release and slave-release — God is Lord of all first things, all best things, all resources. The firstborn law is not a random addition but a cultic anchor for the entire chapter’s theology of ownership and stewardship. A brief treatment, even if not the sermon’s focus, should name this connection.</w:t>
      </w:r>
    </w:p>
    <w:p>
      <w:r>
        <w:pict>
          <v:rect style="width:0;height:1.5pt" o:hralign="center" o:hrstd="t" o:hr="t"/>
        </w:pict>
      </w:r>
    </w:p>
    <w:p>
      <w:pPr>
        <w:pStyle w:val="FirstParagraph"/>
      </w:pPr>
      <w:r>
        <w:rPr>
          <w:i/>
          <w:iCs/>
        </w:rPr>
        <w:t xml:space="preserve">File: 05 Deuteronomy 15.docx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2026-07-14T21:02:05Z</dcterms:created>
  <dcterms:modified xsi:type="dcterms:W3CDTF">2026-07-14T21:02:05Z</dcterms:modified>
</cp:coreProperties>
</file>

<file path=docProps/custom.xml><?xml version="1.0" encoding="utf-8"?>
<Properties xmlns="http://schemas.openxmlformats.org/officeDocument/2006/custom-properties" xmlns:vt="http://schemas.openxmlformats.org/officeDocument/2006/docPropsVTypes"/>
</file>